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D2D83" w14:textId="77777777" w:rsidR="00764131" w:rsidRPr="00907335" w:rsidRDefault="00764131" w:rsidP="00764131">
      <w:pPr>
        <w:jc w:val="center"/>
        <w:rPr>
          <w:b/>
          <w:bCs/>
          <w:sz w:val="22"/>
          <w:szCs w:val="22"/>
        </w:rPr>
      </w:pPr>
    </w:p>
    <w:p w14:paraId="0AA2CD88" w14:textId="1B3B445C" w:rsidR="00764131" w:rsidRPr="00907335" w:rsidRDefault="00764131" w:rsidP="00764131">
      <w:pPr>
        <w:jc w:val="center"/>
        <w:rPr>
          <w:rFonts w:asciiTheme="minorHAnsi" w:hAnsiTheme="minorHAnsi" w:cstheme="minorHAnsi"/>
          <w:b/>
          <w:bCs/>
        </w:rPr>
      </w:pPr>
      <w:r w:rsidRPr="00907335">
        <w:rPr>
          <w:rFonts w:asciiTheme="minorHAnsi" w:hAnsiTheme="minorHAnsi" w:cstheme="minorHAnsi"/>
          <w:b/>
          <w:bCs/>
        </w:rPr>
        <w:t>Patient Concerns with PBM Policies</w:t>
      </w:r>
    </w:p>
    <w:p w14:paraId="22B39933" w14:textId="77777777" w:rsidR="00764131" w:rsidRPr="00907335" w:rsidRDefault="00764131" w:rsidP="00764131">
      <w:pPr>
        <w:rPr>
          <w:rFonts w:asciiTheme="minorHAnsi" w:hAnsiTheme="minorHAnsi" w:cstheme="minorHAnsi"/>
          <w:sz w:val="22"/>
          <w:szCs w:val="22"/>
        </w:rPr>
      </w:pPr>
    </w:p>
    <w:p w14:paraId="45D0DFA2" w14:textId="0C4EA16F" w:rsidR="00764131" w:rsidRPr="00907335" w:rsidRDefault="00764131" w:rsidP="00907335">
      <w:pPr>
        <w:contextualSpacing/>
        <w:rPr>
          <w:rFonts w:asciiTheme="minorHAnsi" w:hAnsiTheme="minorHAnsi" w:cstheme="minorHAnsi"/>
          <w:sz w:val="22"/>
          <w:szCs w:val="22"/>
        </w:rPr>
      </w:pPr>
      <w:r w:rsidRPr="00907335">
        <w:rPr>
          <w:rFonts w:asciiTheme="minorHAnsi" w:hAnsiTheme="minorHAnsi" w:cstheme="minorHAnsi"/>
          <w:sz w:val="22"/>
          <w:szCs w:val="22"/>
        </w:rPr>
        <w:t>Patients and their families trust their healthcare providers to prescribe the right treatments for them; being able to access those treatments is important for managing their health and chronic conditions. Unfortunately,</w:t>
      </w:r>
      <w:r w:rsidR="009079B7" w:rsidRPr="00907335">
        <w:rPr>
          <w:rFonts w:asciiTheme="minorHAnsi" w:hAnsiTheme="minorHAnsi" w:cstheme="minorHAnsi"/>
          <w:sz w:val="22"/>
          <w:szCs w:val="22"/>
        </w:rPr>
        <w:t xml:space="preserve"> Pharmacy Benefit Managers</w:t>
      </w:r>
      <w:r w:rsidRPr="00907335">
        <w:rPr>
          <w:rFonts w:asciiTheme="minorHAnsi" w:hAnsiTheme="minorHAnsi" w:cstheme="minorHAnsi"/>
          <w:sz w:val="22"/>
          <w:szCs w:val="22"/>
        </w:rPr>
        <w:t xml:space="preserve"> </w:t>
      </w:r>
      <w:r w:rsidR="009079B7" w:rsidRPr="00907335">
        <w:rPr>
          <w:rFonts w:asciiTheme="minorHAnsi" w:hAnsiTheme="minorHAnsi" w:cstheme="minorHAnsi"/>
          <w:sz w:val="22"/>
          <w:szCs w:val="22"/>
        </w:rPr>
        <w:t>(</w:t>
      </w:r>
      <w:r w:rsidRPr="00907335">
        <w:rPr>
          <w:rFonts w:asciiTheme="minorHAnsi" w:hAnsiTheme="minorHAnsi" w:cstheme="minorHAnsi"/>
          <w:sz w:val="22"/>
          <w:szCs w:val="22"/>
        </w:rPr>
        <w:t>PBMs</w:t>
      </w:r>
      <w:r w:rsidR="009079B7" w:rsidRPr="00907335">
        <w:rPr>
          <w:rFonts w:asciiTheme="minorHAnsi" w:hAnsiTheme="minorHAnsi" w:cstheme="minorHAnsi"/>
          <w:sz w:val="22"/>
          <w:szCs w:val="22"/>
        </w:rPr>
        <w:t>)</w:t>
      </w:r>
      <w:r w:rsidRPr="00907335">
        <w:rPr>
          <w:rFonts w:asciiTheme="minorHAnsi" w:hAnsiTheme="minorHAnsi" w:cstheme="minorHAnsi"/>
          <w:sz w:val="22"/>
          <w:szCs w:val="22"/>
        </w:rPr>
        <w:t xml:space="preserve"> create </w:t>
      </w:r>
      <w:r w:rsidR="009079B7" w:rsidRPr="00907335">
        <w:rPr>
          <w:rFonts w:asciiTheme="minorHAnsi" w:hAnsiTheme="minorHAnsi" w:cstheme="minorHAnsi"/>
          <w:sz w:val="22"/>
          <w:szCs w:val="22"/>
        </w:rPr>
        <w:t xml:space="preserve">obstacles </w:t>
      </w:r>
      <w:r w:rsidRPr="00907335">
        <w:rPr>
          <w:rFonts w:asciiTheme="minorHAnsi" w:hAnsiTheme="minorHAnsi" w:cstheme="minorHAnsi"/>
          <w:sz w:val="22"/>
          <w:szCs w:val="22"/>
        </w:rPr>
        <w:t>to accessing treatments by creating barriers, driving up costs,</w:t>
      </w:r>
      <w:r w:rsidR="009079B7" w:rsidRPr="00907335">
        <w:rPr>
          <w:rFonts w:asciiTheme="minorHAnsi" w:hAnsiTheme="minorHAnsi" w:cstheme="minorHAnsi"/>
          <w:sz w:val="22"/>
          <w:szCs w:val="22"/>
        </w:rPr>
        <w:t xml:space="preserve"> and</w:t>
      </w:r>
      <w:r w:rsidRPr="00907335">
        <w:rPr>
          <w:rFonts w:asciiTheme="minorHAnsi" w:hAnsiTheme="minorHAnsi" w:cstheme="minorHAnsi"/>
          <w:sz w:val="22"/>
          <w:szCs w:val="22"/>
        </w:rPr>
        <w:t xml:space="preserve"> limiting access to medications</w:t>
      </w:r>
      <w:r w:rsidR="00D02961" w:rsidRPr="00907335">
        <w:rPr>
          <w:rFonts w:asciiTheme="minorHAnsi" w:hAnsiTheme="minorHAnsi" w:cstheme="minorHAnsi"/>
          <w:sz w:val="22"/>
          <w:szCs w:val="22"/>
        </w:rPr>
        <w:t>. PBMs also</w:t>
      </w:r>
      <w:r w:rsidRPr="00907335">
        <w:rPr>
          <w:rFonts w:asciiTheme="minorHAnsi" w:hAnsiTheme="minorHAnsi" w:cstheme="minorHAnsi"/>
          <w:sz w:val="22"/>
          <w:szCs w:val="22"/>
        </w:rPr>
        <w:t xml:space="preserve"> </w:t>
      </w:r>
      <w:r w:rsidR="00D02961" w:rsidRPr="00907335">
        <w:rPr>
          <w:rFonts w:asciiTheme="minorHAnsi" w:hAnsiTheme="minorHAnsi" w:cstheme="minorHAnsi"/>
          <w:sz w:val="22"/>
          <w:szCs w:val="22"/>
        </w:rPr>
        <w:t xml:space="preserve">institute </w:t>
      </w:r>
      <w:r w:rsidR="00434D3D" w:rsidRPr="00907335">
        <w:rPr>
          <w:rFonts w:asciiTheme="minorHAnsi" w:hAnsiTheme="minorHAnsi" w:cstheme="minorHAnsi"/>
          <w:sz w:val="22"/>
          <w:szCs w:val="22"/>
        </w:rPr>
        <w:t>utilization management tools</w:t>
      </w:r>
      <w:r w:rsidR="007B5B30" w:rsidRPr="00907335">
        <w:rPr>
          <w:rFonts w:asciiTheme="minorHAnsi" w:hAnsiTheme="minorHAnsi" w:cstheme="minorHAnsi"/>
          <w:sz w:val="22"/>
          <w:szCs w:val="22"/>
        </w:rPr>
        <w:t xml:space="preserve"> –</w:t>
      </w:r>
      <w:r w:rsidR="00434D3D" w:rsidRPr="00907335">
        <w:rPr>
          <w:rFonts w:asciiTheme="minorHAnsi" w:hAnsiTheme="minorHAnsi" w:cstheme="minorHAnsi"/>
          <w:sz w:val="22"/>
          <w:szCs w:val="22"/>
        </w:rPr>
        <w:t xml:space="preserve"> like step therapy and other </w:t>
      </w:r>
      <w:r w:rsidRPr="00907335">
        <w:rPr>
          <w:rFonts w:asciiTheme="minorHAnsi" w:hAnsiTheme="minorHAnsi" w:cstheme="minorHAnsi"/>
          <w:sz w:val="22"/>
          <w:szCs w:val="22"/>
        </w:rPr>
        <w:t>harmful policies</w:t>
      </w:r>
      <w:r w:rsidR="000F1E1E" w:rsidRPr="00907335">
        <w:rPr>
          <w:rFonts w:asciiTheme="minorHAnsi" w:hAnsiTheme="minorHAnsi" w:cstheme="minorHAnsi"/>
          <w:sz w:val="22"/>
          <w:szCs w:val="22"/>
        </w:rPr>
        <w:t xml:space="preserve"> like copay accumulator policies</w:t>
      </w:r>
      <w:r w:rsidR="007B5B30" w:rsidRPr="00907335">
        <w:rPr>
          <w:rFonts w:asciiTheme="minorHAnsi" w:hAnsiTheme="minorHAnsi" w:cstheme="minorHAnsi"/>
          <w:sz w:val="22"/>
          <w:szCs w:val="22"/>
        </w:rPr>
        <w:t xml:space="preserve"> – </w:t>
      </w:r>
      <w:r w:rsidR="006F5ACA" w:rsidRPr="00907335">
        <w:rPr>
          <w:rFonts w:asciiTheme="minorHAnsi" w:hAnsiTheme="minorHAnsi" w:cstheme="minorHAnsi"/>
          <w:sz w:val="22"/>
          <w:szCs w:val="22"/>
        </w:rPr>
        <w:t xml:space="preserve">that can worsen health conditions and limit </w:t>
      </w:r>
      <w:r w:rsidRPr="00907335">
        <w:rPr>
          <w:rFonts w:asciiTheme="minorHAnsi" w:hAnsiTheme="minorHAnsi" w:cstheme="minorHAnsi"/>
          <w:sz w:val="22"/>
          <w:szCs w:val="22"/>
        </w:rPr>
        <w:t xml:space="preserve">usefulness of financial assistance. </w:t>
      </w:r>
    </w:p>
    <w:p w14:paraId="6B6AB506" w14:textId="77777777" w:rsidR="00862B98" w:rsidRPr="00907335" w:rsidRDefault="00862B98" w:rsidP="00907335">
      <w:pPr>
        <w:contextualSpacing/>
        <w:rPr>
          <w:rFonts w:asciiTheme="minorHAnsi" w:hAnsiTheme="minorHAnsi" w:cstheme="minorHAnsi"/>
          <w:sz w:val="22"/>
          <w:szCs w:val="22"/>
        </w:rPr>
      </w:pPr>
    </w:p>
    <w:p w14:paraId="6ABDEEB3" w14:textId="360C98E0" w:rsidR="00862B98" w:rsidRPr="00907335" w:rsidRDefault="00862B98" w:rsidP="00907335">
      <w:pPr>
        <w:contextualSpacing/>
        <w:rPr>
          <w:rFonts w:asciiTheme="minorHAnsi" w:hAnsiTheme="minorHAnsi" w:cstheme="minorHAnsi"/>
          <w:b/>
          <w:bCs/>
          <w:sz w:val="22"/>
          <w:szCs w:val="22"/>
        </w:rPr>
      </w:pPr>
      <w:r w:rsidRPr="00907335">
        <w:rPr>
          <w:rFonts w:asciiTheme="minorHAnsi" w:hAnsiTheme="minorHAnsi" w:cstheme="minorHAnsi"/>
          <w:b/>
          <w:bCs/>
          <w:sz w:val="22"/>
          <w:szCs w:val="22"/>
          <w:u w:val="single"/>
        </w:rPr>
        <w:t>PBM Policies Are Designed to Be Barriers to Utilizing Medicines</w:t>
      </w:r>
      <w:r w:rsidR="00335879" w:rsidRPr="00907335">
        <w:rPr>
          <w:rStyle w:val="FootnoteReference"/>
          <w:rFonts w:asciiTheme="minorHAnsi" w:hAnsiTheme="minorHAnsi" w:cstheme="minorHAnsi"/>
          <w:b/>
          <w:bCs/>
          <w:sz w:val="22"/>
          <w:szCs w:val="22"/>
          <w:u w:val="single"/>
        </w:rPr>
        <w:footnoteReference w:id="1"/>
      </w:r>
      <w:r w:rsidR="00907335" w:rsidRPr="00907335">
        <w:rPr>
          <w:rFonts w:asciiTheme="minorHAnsi" w:hAnsiTheme="minorHAnsi" w:cstheme="minorHAnsi"/>
          <w:b/>
          <w:bCs/>
          <w:sz w:val="22"/>
          <w:szCs w:val="22"/>
        </w:rPr>
        <w:t>:</w:t>
      </w:r>
      <w:r w:rsidR="00907335">
        <w:rPr>
          <w:rFonts w:asciiTheme="minorHAnsi" w:hAnsiTheme="minorHAnsi" w:cstheme="minorHAnsi"/>
          <w:b/>
          <w:bCs/>
          <w:sz w:val="22"/>
          <w:szCs w:val="22"/>
        </w:rPr>
        <w:t xml:space="preserve"> </w:t>
      </w:r>
      <w:r w:rsidRPr="00907335">
        <w:rPr>
          <w:rFonts w:asciiTheme="minorHAnsi" w:hAnsiTheme="minorHAnsi" w:cstheme="minorHAnsi"/>
          <w:sz w:val="22"/>
          <w:szCs w:val="22"/>
        </w:rPr>
        <w:t>PBM</w:t>
      </w:r>
      <w:r w:rsidR="00917A25" w:rsidRPr="00907335">
        <w:rPr>
          <w:rFonts w:asciiTheme="minorHAnsi" w:hAnsiTheme="minorHAnsi" w:cstheme="minorHAnsi"/>
          <w:sz w:val="22"/>
          <w:szCs w:val="22"/>
        </w:rPr>
        <w:t xml:space="preserve"> </w:t>
      </w:r>
      <w:r w:rsidR="00BC1CCA" w:rsidRPr="00907335">
        <w:rPr>
          <w:rFonts w:asciiTheme="minorHAnsi" w:hAnsiTheme="minorHAnsi" w:cstheme="minorHAnsi"/>
          <w:sz w:val="22"/>
          <w:szCs w:val="22"/>
        </w:rPr>
        <w:t>policies can be detrimental to patients by</w:t>
      </w:r>
      <w:r w:rsidR="006F5ACA" w:rsidRPr="00907335">
        <w:rPr>
          <w:rFonts w:asciiTheme="minorHAnsi" w:hAnsiTheme="minorHAnsi" w:cstheme="minorHAnsi"/>
          <w:sz w:val="22"/>
          <w:szCs w:val="22"/>
        </w:rPr>
        <w:t xml:space="preserve"> requiring fail first policies,</w:t>
      </w:r>
      <w:r w:rsidRPr="00907335">
        <w:rPr>
          <w:rFonts w:asciiTheme="minorHAnsi" w:hAnsiTheme="minorHAnsi" w:cstheme="minorHAnsi"/>
          <w:sz w:val="22"/>
          <w:szCs w:val="22"/>
        </w:rPr>
        <w:t xml:space="preserve"> limit</w:t>
      </w:r>
      <w:r w:rsidR="00BC1CCA" w:rsidRPr="00907335">
        <w:rPr>
          <w:rFonts w:asciiTheme="minorHAnsi" w:hAnsiTheme="minorHAnsi" w:cstheme="minorHAnsi"/>
          <w:sz w:val="22"/>
          <w:szCs w:val="22"/>
        </w:rPr>
        <w:t>ing</w:t>
      </w:r>
      <w:r w:rsidRPr="00907335">
        <w:rPr>
          <w:rFonts w:asciiTheme="minorHAnsi" w:hAnsiTheme="minorHAnsi" w:cstheme="minorHAnsi"/>
          <w:sz w:val="22"/>
          <w:szCs w:val="22"/>
        </w:rPr>
        <w:t xml:space="preserve"> </w:t>
      </w:r>
      <w:r w:rsidR="00BC1CCA" w:rsidRPr="00907335">
        <w:rPr>
          <w:rFonts w:asciiTheme="minorHAnsi" w:hAnsiTheme="minorHAnsi" w:cstheme="minorHAnsi"/>
          <w:sz w:val="22"/>
          <w:szCs w:val="22"/>
        </w:rPr>
        <w:t xml:space="preserve">their </w:t>
      </w:r>
      <w:r w:rsidRPr="00907335">
        <w:rPr>
          <w:rFonts w:asciiTheme="minorHAnsi" w:hAnsiTheme="minorHAnsi" w:cstheme="minorHAnsi"/>
          <w:sz w:val="22"/>
          <w:szCs w:val="22"/>
        </w:rPr>
        <w:t>access to medications</w:t>
      </w:r>
      <w:r w:rsidR="00BC1CCA" w:rsidRPr="00907335">
        <w:rPr>
          <w:rFonts w:asciiTheme="minorHAnsi" w:hAnsiTheme="minorHAnsi" w:cstheme="minorHAnsi"/>
          <w:sz w:val="22"/>
          <w:szCs w:val="22"/>
        </w:rPr>
        <w:t xml:space="preserve"> and increasing </w:t>
      </w:r>
      <w:r w:rsidR="00C1680C" w:rsidRPr="00907335">
        <w:rPr>
          <w:rFonts w:asciiTheme="minorHAnsi" w:hAnsiTheme="minorHAnsi" w:cstheme="minorHAnsi"/>
          <w:sz w:val="22"/>
          <w:szCs w:val="22"/>
        </w:rPr>
        <w:t>out-of-pocket</w:t>
      </w:r>
      <w:r w:rsidR="00BC1CCA" w:rsidRPr="00907335">
        <w:rPr>
          <w:rFonts w:asciiTheme="minorHAnsi" w:hAnsiTheme="minorHAnsi" w:cstheme="minorHAnsi"/>
          <w:sz w:val="22"/>
          <w:szCs w:val="22"/>
        </w:rPr>
        <w:t xml:space="preserve"> costs</w:t>
      </w:r>
      <w:r w:rsidRPr="00907335">
        <w:rPr>
          <w:rFonts w:asciiTheme="minorHAnsi" w:hAnsiTheme="minorHAnsi" w:cstheme="minorHAnsi"/>
          <w:sz w:val="22"/>
          <w:szCs w:val="22"/>
        </w:rPr>
        <w:t xml:space="preserve">. </w:t>
      </w:r>
      <w:r w:rsidR="00D32EE8" w:rsidRPr="00907335">
        <w:rPr>
          <w:rFonts w:asciiTheme="minorHAnsi" w:hAnsiTheme="minorHAnsi" w:cstheme="minorHAnsi"/>
          <w:sz w:val="22"/>
          <w:szCs w:val="22"/>
        </w:rPr>
        <w:t>PBM p</w:t>
      </w:r>
      <w:r w:rsidRPr="00907335">
        <w:rPr>
          <w:rFonts w:asciiTheme="minorHAnsi" w:hAnsiTheme="minorHAnsi" w:cstheme="minorHAnsi"/>
          <w:sz w:val="22"/>
          <w:szCs w:val="22"/>
        </w:rPr>
        <w:t xml:space="preserve">ractices </w:t>
      </w:r>
      <w:r w:rsidR="00D32EE8" w:rsidRPr="00907335">
        <w:rPr>
          <w:rFonts w:asciiTheme="minorHAnsi" w:hAnsiTheme="minorHAnsi" w:cstheme="minorHAnsi"/>
          <w:sz w:val="22"/>
          <w:szCs w:val="22"/>
        </w:rPr>
        <w:t xml:space="preserve">can get between patients and their </w:t>
      </w:r>
      <w:r w:rsidR="006F7DB7" w:rsidRPr="00907335">
        <w:rPr>
          <w:rFonts w:asciiTheme="minorHAnsi" w:hAnsiTheme="minorHAnsi" w:cstheme="minorHAnsi"/>
          <w:sz w:val="22"/>
          <w:szCs w:val="22"/>
        </w:rPr>
        <w:t>healthcare providers by imposing</w:t>
      </w:r>
      <w:r w:rsidR="00D32EE8" w:rsidRPr="00907335">
        <w:rPr>
          <w:rFonts w:asciiTheme="minorHAnsi" w:hAnsiTheme="minorHAnsi" w:cstheme="minorHAnsi"/>
          <w:sz w:val="22"/>
          <w:szCs w:val="22"/>
        </w:rPr>
        <w:t xml:space="preserve"> </w:t>
      </w:r>
      <w:r w:rsidRPr="00907335">
        <w:rPr>
          <w:rFonts w:asciiTheme="minorHAnsi" w:hAnsiTheme="minorHAnsi" w:cstheme="minorHAnsi"/>
          <w:sz w:val="22"/>
          <w:szCs w:val="22"/>
        </w:rPr>
        <w:t>limited drug formularies,</w:t>
      </w:r>
      <w:r w:rsidR="006F7DB7" w:rsidRPr="00907335">
        <w:rPr>
          <w:rFonts w:asciiTheme="minorHAnsi" w:hAnsiTheme="minorHAnsi" w:cstheme="minorHAnsi"/>
          <w:sz w:val="22"/>
          <w:szCs w:val="22"/>
        </w:rPr>
        <w:t xml:space="preserve"> </w:t>
      </w:r>
      <w:r w:rsidR="006F5ACA" w:rsidRPr="00907335">
        <w:rPr>
          <w:rFonts w:asciiTheme="minorHAnsi" w:hAnsiTheme="minorHAnsi" w:cstheme="minorHAnsi"/>
          <w:sz w:val="22"/>
          <w:szCs w:val="22"/>
        </w:rPr>
        <w:t xml:space="preserve">creating </w:t>
      </w:r>
      <w:r w:rsidRPr="00907335">
        <w:rPr>
          <w:rFonts w:asciiTheme="minorHAnsi" w:hAnsiTheme="minorHAnsi" w:cstheme="minorHAnsi"/>
          <w:sz w:val="22"/>
          <w:szCs w:val="22"/>
        </w:rPr>
        <w:t xml:space="preserve">adverse tiering, </w:t>
      </w:r>
      <w:r w:rsidR="006F7DB7" w:rsidRPr="00907335">
        <w:rPr>
          <w:rFonts w:asciiTheme="minorHAnsi" w:hAnsiTheme="minorHAnsi" w:cstheme="minorHAnsi"/>
          <w:sz w:val="22"/>
          <w:szCs w:val="22"/>
        </w:rPr>
        <w:t xml:space="preserve">requiring </w:t>
      </w:r>
      <w:r w:rsidRPr="00907335">
        <w:rPr>
          <w:rFonts w:asciiTheme="minorHAnsi" w:hAnsiTheme="minorHAnsi" w:cstheme="minorHAnsi"/>
          <w:sz w:val="22"/>
          <w:szCs w:val="22"/>
        </w:rPr>
        <w:t>prior authorizations, and</w:t>
      </w:r>
      <w:r w:rsidR="006F7DB7" w:rsidRPr="00907335">
        <w:rPr>
          <w:rFonts w:asciiTheme="minorHAnsi" w:hAnsiTheme="minorHAnsi" w:cstheme="minorHAnsi"/>
          <w:sz w:val="22"/>
          <w:szCs w:val="22"/>
        </w:rPr>
        <w:t xml:space="preserve"> utilizing</w:t>
      </w:r>
      <w:r w:rsidRPr="00907335">
        <w:rPr>
          <w:rFonts w:asciiTheme="minorHAnsi" w:hAnsiTheme="minorHAnsi" w:cstheme="minorHAnsi"/>
          <w:sz w:val="22"/>
          <w:szCs w:val="22"/>
        </w:rPr>
        <w:t xml:space="preserve"> other practices</w:t>
      </w:r>
      <w:r w:rsidR="00BC1CCA" w:rsidRPr="00907335">
        <w:rPr>
          <w:rFonts w:asciiTheme="minorHAnsi" w:hAnsiTheme="minorHAnsi" w:cstheme="minorHAnsi"/>
          <w:sz w:val="22"/>
          <w:szCs w:val="22"/>
        </w:rPr>
        <w:t xml:space="preserve"> that</w:t>
      </w:r>
      <w:r w:rsidR="00B62532" w:rsidRPr="00907335">
        <w:rPr>
          <w:rFonts w:asciiTheme="minorHAnsi" w:hAnsiTheme="minorHAnsi" w:cstheme="minorHAnsi"/>
          <w:sz w:val="22"/>
          <w:szCs w:val="22"/>
        </w:rPr>
        <w:t xml:space="preserve"> </w:t>
      </w:r>
      <w:r w:rsidR="00B54D3F" w:rsidRPr="00907335">
        <w:rPr>
          <w:rFonts w:asciiTheme="minorHAnsi" w:hAnsiTheme="minorHAnsi" w:cstheme="minorHAnsi"/>
          <w:sz w:val="22"/>
          <w:szCs w:val="22"/>
        </w:rPr>
        <w:t>create</w:t>
      </w:r>
      <w:r w:rsidR="00B62532" w:rsidRPr="00907335">
        <w:rPr>
          <w:rFonts w:asciiTheme="minorHAnsi" w:hAnsiTheme="minorHAnsi" w:cstheme="minorHAnsi"/>
          <w:sz w:val="22"/>
          <w:szCs w:val="22"/>
        </w:rPr>
        <w:t xml:space="preserve"> barriers</w:t>
      </w:r>
      <w:r w:rsidRPr="00907335">
        <w:rPr>
          <w:rFonts w:asciiTheme="minorHAnsi" w:hAnsiTheme="minorHAnsi" w:cstheme="minorHAnsi"/>
          <w:sz w:val="22"/>
          <w:szCs w:val="22"/>
        </w:rPr>
        <w:t xml:space="preserve"> for patients to maintain health regimens. </w:t>
      </w:r>
    </w:p>
    <w:p w14:paraId="79201AFF" w14:textId="77777777" w:rsidR="00764131" w:rsidRPr="00907335" w:rsidRDefault="00764131" w:rsidP="00907335">
      <w:pPr>
        <w:contextualSpacing/>
        <w:rPr>
          <w:rFonts w:asciiTheme="minorHAnsi" w:hAnsiTheme="minorHAnsi" w:cstheme="minorHAnsi"/>
          <w:sz w:val="22"/>
          <w:szCs w:val="22"/>
        </w:rPr>
      </w:pPr>
    </w:p>
    <w:p w14:paraId="08049E48" w14:textId="796BB099" w:rsidR="00764131" w:rsidRPr="00907335" w:rsidRDefault="00764131" w:rsidP="00907335">
      <w:pPr>
        <w:contextualSpacing/>
        <w:rPr>
          <w:rFonts w:asciiTheme="minorHAnsi" w:hAnsiTheme="minorHAnsi" w:cstheme="minorHAnsi"/>
          <w:b/>
          <w:bCs/>
          <w:sz w:val="22"/>
          <w:szCs w:val="22"/>
        </w:rPr>
      </w:pPr>
      <w:r w:rsidRPr="00907335">
        <w:rPr>
          <w:rFonts w:asciiTheme="minorHAnsi" w:hAnsiTheme="minorHAnsi" w:cstheme="minorHAnsi"/>
          <w:b/>
          <w:bCs/>
          <w:sz w:val="22"/>
          <w:szCs w:val="22"/>
          <w:u w:val="single"/>
        </w:rPr>
        <w:t>PBM Policies Shift Cost Burdens onto Sick Patient</w:t>
      </w:r>
      <w:r w:rsidR="00335879" w:rsidRPr="00907335">
        <w:rPr>
          <w:rFonts w:asciiTheme="minorHAnsi" w:hAnsiTheme="minorHAnsi" w:cstheme="minorHAnsi"/>
          <w:b/>
          <w:bCs/>
          <w:sz w:val="22"/>
          <w:szCs w:val="22"/>
          <w:u w:val="single"/>
        </w:rPr>
        <w:t>s</w:t>
      </w:r>
      <w:r w:rsidR="00335879" w:rsidRPr="00907335">
        <w:rPr>
          <w:rStyle w:val="FootnoteReference"/>
          <w:rFonts w:asciiTheme="minorHAnsi" w:hAnsiTheme="minorHAnsi" w:cstheme="minorHAnsi"/>
          <w:b/>
          <w:bCs/>
          <w:sz w:val="22"/>
          <w:szCs w:val="22"/>
          <w:u w:val="single"/>
        </w:rPr>
        <w:footnoteReference w:id="2"/>
      </w:r>
      <w:r w:rsidR="00907335" w:rsidRPr="00907335">
        <w:rPr>
          <w:rFonts w:asciiTheme="minorHAnsi" w:hAnsiTheme="minorHAnsi" w:cstheme="minorHAnsi"/>
          <w:b/>
          <w:bCs/>
          <w:sz w:val="22"/>
          <w:szCs w:val="22"/>
        </w:rPr>
        <w:t xml:space="preserve">: </w:t>
      </w:r>
      <w:r w:rsidRPr="00907335">
        <w:rPr>
          <w:rFonts w:asciiTheme="minorHAnsi" w:hAnsiTheme="minorHAnsi" w:cstheme="minorHAnsi"/>
          <w:sz w:val="22"/>
          <w:szCs w:val="22"/>
        </w:rPr>
        <w:t xml:space="preserve">PBMs have taken advantage of </w:t>
      </w:r>
      <w:r w:rsidR="00AA297D" w:rsidRPr="00907335">
        <w:rPr>
          <w:rFonts w:asciiTheme="minorHAnsi" w:hAnsiTheme="minorHAnsi" w:cstheme="minorHAnsi"/>
          <w:sz w:val="22"/>
          <w:szCs w:val="22"/>
        </w:rPr>
        <w:t>the lack</w:t>
      </w:r>
      <w:r w:rsidRPr="00907335">
        <w:rPr>
          <w:rFonts w:asciiTheme="minorHAnsi" w:hAnsiTheme="minorHAnsi" w:cstheme="minorHAnsi"/>
          <w:sz w:val="22"/>
          <w:szCs w:val="22"/>
        </w:rPr>
        <w:t xml:space="preserve"> of transparency and oversight to implement policies that shift a greater share of the cost burden onto sick patients: </w:t>
      </w:r>
    </w:p>
    <w:p w14:paraId="73C8E4A8" w14:textId="62072F40" w:rsidR="00764131" w:rsidRPr="00907335" w:rsidRDefault="00764131" w:rsidP="00907335">
      <w:pPr>
        <w:pStyle w:val="ListParagraph"/>
        <w:numPr>
          <w:ilvl w:val="0"/>
          <w:numId w:val="2"/>
        </w:numPr>
        <w:spacing w:after="0" w:line="240" w:lineRule="auto"/>
        <w:ind w:left="360"/>
        <w:rPr>
          <w:rFonts w:cstheme="minorHAnsi"/>
        </w:rPr>
      </w:pPr>
      <w:r w:rsidRPr="00907335">
        <w:rPr>
          <w:rFonts w:cstheme="minorHAnsi"/>
          <w:b/>
          <w:bCs/>
        </w:rPr>
        <w:t xml:space="preserve">Negotiated Rebates Benefit PBMs, Not Patients: </w:t>
      </w:r>
      <w:r w:rsidRPr="00907335">
        <w:rPr>
          <w:rFonts w:cstheme="minorHAnsi"/>
        </w:rPr>
        <w:t>PBMs negotiate rebates on prescription drugs with manufacturers</w:t>
      </w:r>
      <w:r w:rsidR="00A133F5" w:rsidRPr="00907335">
        <w:rPr>
          <w:rFonts w:cstheme="minorHAnsi"/>
        </w:rPr>
        <w:t xml:space="preserve"> </w:t>
      </w:r>
      <w:r w:rsidRPr="00907335">
        <w:rPr>
          <w:rFonts w:cstheme="minorHAnsi"/>
        </w:rPr>
        <w:t xml:space="preserve">but </w:t>
      </w:r>
      <w:r w:rsidR="00AC0675" w:rsidRPr="00907335">
        <w:rPr>
          <w:rFonts w:cstheme="minorHAnsi"/>
        </w:rPr>
        <w:t xml:space="preserve">seem to </w:t>
      </w:r>
      <w:r w:rsidRPr="00907335">
        <w:rPr>
          <w:rFonts w:cstheme="minorHAnsi"/>
        </w:rPr>
        <w:t xml:space="preserve">pocket the profits from these rebates, rather than passing them along to patients. While PBMs </w:t>
      </w:r>
      <w:r w:rsidR="00AC0675" w:rsidRPr="00907335">
        <w:rPr>
          <w:rFonts w:cstheme="minorHAnsi"/>
        </w:rPr>
        <w:t xml:space="preserve">report </w:t>
      </w:r>
      <w:r w:rsidRPr="00907335">
        <w:rPr>
          <w:rFonts w:cstheme="minorHAnsi"/>
        </w:rPr>
        <w:t>higher</w:t>
      </w:r>
      <w:r w:rsidR="00AC0675" w:rsidRPr="00907335">
        <w:rPr>
          <w:rFonts w:cstheme="minorHAnsi"/>
        </w:rPr>
        <w:t xml:space="preserve"> and higher</w:t>
      </w:r>
      <w:r w:rsidRPr="00907335">
        <w:rPr>
          <w:rFonts w:cstheme="minorHAnsi"/>
        </w:rPr>
        <w:t xml:space="preserve"> profits, patients</w:t>
      </w:r>
      <w:r w:rsidR="00937AFD" w:rsidRPr="00907335">
        <w:rPr>
          <w:rFonts w:cstheme="minorHAnsi"/>
        </w:rPr>
        <w:t xml:space="preserve"> </w:t>
      </w:r>
      <w:r w:rsidRPr="00907335">
        <w:rPr>
          <w:rFonts w:cstheme="minorHAnsi"/>
        </w:rPr>
        <w:t>already struggling</w:t>
      </w:r>
      <w:r w:rsidR="00AC0675" w:rsidRPr="00907335">
        <w:rPr>
          <w:rFonts w:cstheme="minorHAnsi"/>
        </w:rPr>
        <w:t xml:space="preserve"> with health care costs</w:t>
      </w:r>
      <w:r w:rsidRPr="00907335">
        <w:rPr>
          <w:rFonts w:cstheme="minorHAnsi"/>
        </w:rPr>
        <w:t xml:space="preserve"> are left paying the undiscounted price for their medications</w:t>
      </w:r>
      <w:r w:rsidR="00047235" w:rsidRPr="00907335">
        <w:rPr>
          <w:rFonts w:cstheme="minorHAnsi"/>
        </w:rPr>
        <w:t>.</w:t>
      </w:r>
    </w:p>
    <w:p w14:paraId="7CF8EEA6" w14:textId="079C692B" w:rsidR="00764131" w:rsidRPr="00907335" w:rsidRDefault="00764131" w:rsidP="00907335">
      <w:pPr>
        <w:pStyle w:val="ListParagraph"/>
        <w:numPr>
          <w:ilvl w:val="0"/>
          <w:numId w:val="2"/>
        </w:numPr>
        <w:spacing w:after="0" w:line="240" w:lineRule="auto"/>
        <w:ind w:left="360"/>
        <w:rPr>
          <w:rFonts w:cstheme="minorHAnsi"/>
        </w:rPr>
      </w:pPr>
      <w:r w:rsidRPr="00907335">
        <w:rPr>
          <w:rFonts w:cstheme="minorHAnsi"/>
          <w:b/>
          <w:bCs/>
        </w:rPr>
        <w:t>Copay Accumulator Policies Let Plans Collect Payments While Making Patients Pay:</w:t>
      </w:r>
      <w:r w:rsidR="00335879" w:rsidRPr="00907335">
        <w:rPr>
          <w:rStyle w:val="FootnoteReference"/>
          <w:rFonts w:cstheme="minorHAnsi"/>
        </w:rPr>
        <w:footnoteReference w:id="3"/>
      </w:r>
      <w:r w:rsidRPr="00907335">
        <w:rPr>
          <w:rFonts w:cstheme="minorHAnsi"/>
          <w:b/>
          <w:bCs/>
        </w:rPr>
        <w:t xml:space="preserve"> </w:t>
      </w:r>
      <w:r w:rsidR="00095626" w:rsidRPr="00907335">
        <w:rPr>
          <w:rFonts w:cstheme="minorHAnsi"/>
        </w:rPr>
        <w:t xml:space="preserve">Copay accumulator programs </w:t>
      </w:r>
      <w:r w:rsidRPr="00907335">
        <w:rPr>
          <w:rFonts w:cstheme="minorHAnsi"/>
        </w:rPr>
        <w:t xml:space="preserve">exclude copay assistance from counting </w:t>
      </w:r>
      <w:r w:rsidR="0084093F" w:rsidRPr="00907335">
        <w:rPr>
          <w:rFonts w:cstheme="minorHAnsi"/>
        </w:rPr>
        <w:t>toward</w:t>
      </w:r>
      <w:r w:rsidRPr="00907335">
        <w:rPr>
          <w:rFonts w:cstheme="minorHAnsi"/>
        </w:rPr>
        <w:t xml:space="preserve"> patient deductibles and out-of-pocket maximums</w:t>
      </w:r>
      <w:r w:rsidR="00862B98" w:rsidRPr="00907335">
        <w:rPr>
          <w:rFonts w:cstheme="minorHAnsi"/>
        </w:rPr>
        <w:t>.</w:t>
      </w:r>
      <w:r w:rsidRPr="00907335">
        <w:rPr>
          <w:rFonts w:cstheme="minorHAnsi"/>
        </w:rPr>
        <w:t xml:space="preserve"> </w:t>
      </w:r>
      <w:r w:rsidR="00862B98" w:rsidRPr="00907335">
        <w:rPr>
          <w:rFonts w:cstheme="minorHAnsi"/>
        </w:rPr>
        <w:t xml:space="preserve">This drives </w:t>
      </w:r>
      <w:r w:rsidRPr="00907335">
        <w:rPr>
          <w:rFonts w:cstheme="minorHAnsi"/>
        </w:rPr>
        <w:t>up patient out</w:t>
      </w:r>
      <w:r w:rsidR="00B5612A" w:rsidRPr="00907335">
        <w:rPr>
          <w:rFonts w:cstheme="minorHAnsi"/>
        </w:rPr>
        <w:t>-</w:t>
      </w:r>
      <w:r w:rsidRPr="00907335">
        <w:rPr>
          <w:rFonts w:cstheme="minorHAnsi"/>
        </w:rPr>
        <w:t>of</w:t>
      </w:r>
      <w:r w:rsidR="00B5612A" w:rsidRPr="00907335">
        <w:rPr>
          <w:rFonts w:cstheme="minorHAnsi"/>
        </w:rPr>
        <w:t>-</w:t>
      </w:r>
      <w:r w:rsidRPr="00907335">
        <w:rPr>
          <w:rFonts w:cstheme="minorHAnsi"/>
        </w:rPr>
        <w:t>pocket costs, and</w:t>
      </w:r>
      <w:r w:rsidR="00862B98" w:rsidRPr="00907335">
        <w:rPr>
          <w:rFonts w:cstheme="minorHAnsi"/>
        </w:rPr>
        <w:t>,</w:t>
      </w:r>
      <w:r w:rsidRPr="00907335">
        <w:rPr>
          <w:rFonts w:cstheme="minorHAnsi"/>
        </w:rPr>
        <w:t xml:space="preserve"> in some instances, put</w:t>
      </w:r>
      <w:r w:rsidR="00862B98" w:rsidRPr="00907335">
        <w:rPr>
          <w:rFonts w:cstheme="minorHAnsi"/>
        </w:rPr>
        <w:t>s</w:t>
      </w:r>
      <w:r w:rsidRPr="00907335">
        <w:rPr>
          <w:rFonts w:cstheme="minorHAnsi"/>
        </w:rPr>
        <w:t xml:space="preserve"> medications out of reach for struggling patients reliant on brand medications. </w:t>
      </w:r>
      <w:r w:rsidR="005A501B" w:rsidRPr="00907335">
        <w:rPr>
          <w:rFonts w:cstheme="minorHAnsi"/>
          <w:shd w:val="clear" w:color="auto" w:fill="FFFFFF"/>
        </w:rPr>
        <w:t>Often there are limited treatments for people with chronic disease</w:t>
      </w:r>
      <w:r w:rsidR="00047235" w:rsidRPr="00907335">
        <w:rPr>
          <w:rFonts w:cstheme="minorHAnsi"/>
          <w:shd w:val="clear" w:color="auto" w:fill="FFFFFF"/>
        </w:rPr>
        <w:t>,</w:t>
      </w:r>
      <w:r w:rsidR="005A501B" w:rsidRPr="00907335">
        <w:rPr>
          <w:rFonts w:cstheme="minorHAnsi"/>
          <w:shd w:val="clear" w:color="auto" w:fill="FFFFFF"/>
        </w:rPr>
        <w:t xml:space="preserve"> and generic medications are not available or are not as effective for the individual patient.</w:t>
      </w:r>
    </w:p>
    <w:p w14:paraId="60D0B952" w14:textId="77777777" w:rsidR="00764131" w:rsidRPr="00907335" w:rsidRDefault="00764131" w:rsidP="00907335">
      <w:pPr>
        <w:contextualSpacing/>
        <w:rPr>
          <w:rFonts w:asciiTheme="minorHAnsi" w:hAnsiTheme="minorHAnsi" w:cstheme="minorHAnsi"/>
          <w:sz w:val="22"/>
          <w:szCs w:val="22"/>
        </w:rPr>
      </w:pPr>
    </w:p>
    <w:p w14:paraId="4C74BCD4" w14:textId="738E51D5" w:rsidR="00937AFD" w:rsidRPr="00907335" w:rsidRDefault="00937AFD" w:rsidP="00907335">
      <w:pPr>
        <w:contextualSpacing/>
        <w:rPr>
          <w:rFonts w:asciiTheme="minorHAnsi" w:hAnsiTheme="minorHAnsi" w:cstheme="minorHAnsi"/>
          <w:b/>
          <w:bCs/>
          <w:sz w:val="22"/>
          <w:szCs w:val="22"/>
          <w:u w:val="single"/>
          <w:vertAlign w:val="superscript"/>
        </w:rPr>
      </w:pPr>
      <w:r w:rsidRPr="00907335">
        <w:rPr>
          <w:rFonts w:asciiTheme="minorHAnsi" w:hAnsiTheme="minorHAnsi" w:cstheme="minorHAnsi"/>
          <w:b/>
          <w:bCs/>
          <w:sz w:val="22"/>
          <w:szCs w:val="22"/>
          <w:u w:val="single"/>
        </w:rPr>
        <w:t xml:space="preserve">FTC </w:t>
      </w:r>
      <w:r w:rsidR="00E5553B">
        <w:rPr>
          <w:rFonts w:asciiTheme="minorHAnsi" w:hAnsiTheme="minorHAnsi" w:cstheme="minorHAnsi"/>
          <w:b/>
          <w:bCs/>
          <w:sz w:val="22"/>
          <w:szCs w:val="22"/>
          <w:u w:val="single"/>
        </w:rPr>
        <w:t>Investigates</w:t>
      </w:r>
      <w:r w:rsidRPr="00907335">
        <w:rPr>
          <w:rFonts w:asciiTheme="minorHAnsi" w:hAnsiTheme="minorHAnsi" w:cstheme="minorHAnsi"/>
          <w:b/>
          <w:bCs/>
          <w:sz w:val="22"/>
          <w:szCs w:val="22"/>
          <w:u w:val="single"/>
        </w:rPr>
        <w:t xml:space="preserve"> Issues with PBMs</w:t>
      </w:r>
      <w:r w:rsidR="008845F3" w:rsidRPr="00907335">
        <w:rPr>
          <w:rFonts w:asciiTheme="minorHAnsi" w:hAnsiTheme="minorHAnsi" w:cstheme="minorHAnsi"/>
          <w:b/>
          <w:bCs/>
          <w:sz w:val="22"/>
          <w:szCs w:val="22"/>
          <w:u w:val="single"/>
          <w:vertAlign w:val="superscript"/>
        </w:rPr>
        <w:t>4</w:t>
      </w:r>
      <w:r w:rsidR="00907335" w:rsidRPr="00907335">
        <w:rPr>
          <w:rFonts w:asciiTheme="minorHAnsi" w:hAnsiTheme="minorHAnsi" w:cstheme="minorHAnsi"/>
          <w:b/>
          <w:bCs/>
          <w:sz w:val="22"/>
          <w:szCs w:val="22"/>
        </w:rPr>
        <w:t>:</w:t>
      </w:r>
      <w:r w:rsidR="00907335">
        <w:rPr>
          <w:rFonts w:asciiTheme="minorHAnsi" w:hAnsiTheme="minorHAnsi" w:cstheme="minorHAnsi"/>
          <w:b/>
          <w:bCs/>
          <w:sz w:val="22"/>
          <w:szCs w:val="22"/>
        </w:rPr>
        <w:t xml:space="preserve"> </w:t>
      </w:r>
      <w:r w:rsidR="00907335">
        <w:rPr>
          <w:rFonts w:asciiTheme="minorHAnsi" w:hAnsiTheme="minorHAnsi" w:cstheme="minorHAnsi"/>
          <w:sz w:val="22"/>
          <w:szCs w:val="22"/>
        </w:rPr>
        <w:t>T</w:t>
      </w:r>
      <w:r w:rsidRPr="00907335">
        <w:rPr>
          <w:rFonts w:asciiTheme="minorHAnsi" w:hAnsiTheme="minorHAnsi" w:cstheme="minorHAnsi"/>
          <w:sz w:val="22"/>
          <w:szCs w:val="22"/>
        </w:rPr>
        <w:t xml:space="preserve">he Federal Trade Commission (FTC) recently published an interim report on PBMs, highlighting the negative impact they have on drug accessibility and affordability. The report details how vertical integration and market concentration enable PBMs to profit at the expense of patients and independent pharmacies. The FTC emphasizes the need for transparency and accountability in PBM practices to ensure fair access to medications. </w:t>
      </w:r>
    </w:p>
    <w:p w14:paraId="629A8889" w14:textId="77777777" w:rsidR="00937AFD" w:rsidRPr="00907335" w:rsidRDefault="00937AFD" w:rsidP="00907335">
      <w:pPr>
        <w:contextualSpacing/>
        <w:rPr>
          <w:rFonts w:asciiTheme="minorHAnsi" w:hAnsiTheme="minorHAnsi" w:cstheme="minorHAnsi"/>
          <w:sz w:val="22"/>
          <w:szCs w:val="22"/>
        </w:rPr>
      </w:pPr>
    </w:p>
    <w:p w14:paraId="6B1E26EF" w14:textId="446E86CF" w:rsidR="00937AFD" w:rsidRPr="00907335" w:rsidRDefault="00937AFD" w:rsidP="00907335">
      <w:pPr>
        <w:contextualSpacing/>
        <w:rPr>
          <w:rFonts w:asciiTheme="minorHAnsi" w:hAnsiTheme="minorHAnsi" w:cstheme="minorHAnsi"/>
          <w:b/>
          <w:bCs/>
          <w:sz w:val="22"/>
          <w:szCs w:val="22"/>
          <w:u w:val="single"/>
          <w:vertAlign w:val="superscript"/>
        </w:rPr>
      </w:pPr>
      <w:r w:rsidRPr="00907335">
        <w:rPr>
          <w:rFonts w:asciiTheme="minorHAnsi" w:hAnsiTheme="minorHAnsi" w:cstheme="minorHAnsi"/>
          <w:b/>
          <w:bCs/>
          <w:sz w:val="22"/>
          <w:szCs w:val="22"/>
          <w:u w:val="single"/>
        </w:rPr>
        <w:t xml:space="preserve">NYT </w:t>
      </w:r>
      <w:r w:rsidR="00E5553B">
        <w:rPr>
          <w:rFonts w:asciiTheme="minorHAnsi" w:hAnsiTheme="minorHAnsi" w:cstheme="minorHAnsi"/>
          <w:b/>
          <w:bCs/>
          <w:sz w:val="22"/>
          <w:szCs w:val="22"/>
          <w:u w:val="single"/>
        </w:rPr>
        <w:t>Highlights</w:t>
      </w:r>
      <w:r w:rsidRPr="00907335">
        <w:rPr>
          <w:rFonts w:asciiTheme="minorHAnsi" w:hAnsiTheme="minorHAnsi" w:cstheme="minorHAnsi"/>
          <w:b/>
          <w:bCs/>
          <w:sz w:val="22"/>
          <w:szCs w:val="22"/>
          <w:u w:val="single"/>
        </w:rPr>
        <w:t xml:space="preserve"> PBM Practices</w:t>
      </w:r>
      <w:r w:rsidR="008845F3" w:rsidRPr="00907335">
        <w:rPr>
          <w:rFonts w:asciiTheme="minorHAnsi" w:hAnsiTheme="minorHAnsi" w:cstheme="minorHAnsi"/>
          <w:b/>
          <w:bCs/>
          <w:sz w:val="22"/>
          <w:szCs w:val="22"/>
          <w:u w:val="single"/>
          <w:vertAlign w:val="superscript"/>
        </w:rPr>
        <w:t>5</w:t>
      </w:r>
      <w:r w:rsidR="00907335" w:rsidRPr="00907335">
        <w:rPr>
          <w:rFonts w:asciiTheme="minorHAnsi" w:hAnsiTheme="minorHAnsi" w:cstheme="minorHAnsi"/>
          <w:b/>
          <w:bCs/>
          <w:sz w:val="22"/>
          <w:szCs w:val="22"/>
        </w:rPr>
        <w:t>:</w:t>
      </w:r>
      <w:r w:rsidR="00907335">
        <w:rPr>
          <w:rFonts w:asciiTheme="minorHAnsi" w:hAnsiTheme="minorHAnsi" w:cstheme="minorHAnsi"/>
          <w:sz w:val="22"/>
          <w:szCs w:val="22"/>
        </w:rPr>
        <w:t xml:space="preserve"> </w:t>
      </w:r>
      <w:r w:rsidR="0008326B" w:rsidRPr="0008326B">
        <w:rPr>
          <w:rFonts w:asciiTheme="minorHAnsi" w:hAnsiTheme="minorHAnsi" w:cstheme="minorHAnsi"/>
          <w:sz w:val="22"/>
          <w:szCs w:val="22"/>
        </w:rPr>
        <w:t>A</w:t>
      </w:r>
      <w:r w:rsidR="0008326B">
        <w:rPr>
          <w:rFonts w:asciiTheme="minorHAnsi" w:hAnsiTheme="minorHAnsi" w:cstheme="minorHAnsi"/>
          <w:sz w:val="22"/>
          <w:szCs w:val="22"/>
        </w:rPr>
        <w:t xml:space="preserve"> </w:t>
      </w:r>
      <w:r w:rsidRPr="0008326B">
        <w:rPr>
          <w:rFonts w:asciiTheme="minorHAnsi" w:hAnsiTheme="minorHAnsi" w:cstheme="minorHAnsi"/>
          <w:sz w:val="22"/>
          <w:szCs w:val="22"/>
        </w:rPr>
        <w:t>recent</w:t>
      </w:r>
      <w:r w:rsidRPr="00907335">
        <w:rPr>
          <w:rFonts w:asciiTheme="minorHAnsi" w:hAnsiTheme="minorHAnsi" w:cstheme="minorHAnsi"/>
          <w:sz w:val="22"/>
          <w:szCs w:val="22"/>
        </w:rPr>
        <w:t xml:space="preserve"> New York Times investigation delves into how PBMs drive up drug costs for millions of Americans. The report reveals that PBMs often steer patients toward more expensive drugs, impose higher markups, and extract hidden fees, all while reducing the competitiveness of independent pharmacies. This practice not only inflates drug prices but also restricts access to essential medications for many patients.</w:t>
      </w:r>
    </w:p>
    <w:p w14:paraId="3E926A98" w14:textId="77777777" w:rsidR="00937AFD" w:rsidRPr="00907335" w:rsidRDefault="00937AFD" w:rsidP="00907335">
      <w:pPr>
        <w:contextualSpacing/>
        <w:rPr>
          <w:rFonts w:asciiTheme="minorHAnsi" w:hAnsiTheme="minorHAnsi" w:cstheme="minorHAnsi"/>
          <w:sz w:val="22"/>
          <w:szCs w:val="22"/>
        </w:rPr>
      </w:pPr>
    </w:p>
    <w:p w14:paraId="3B8A2B47" w14:textId="452651ED" w:rsidR="00764131" w:rsidRPr="00907335" w:rsidRDefault="00764131" w:rsidP="00907335">
      <w:pPr>
        <w:contextualSpacing/>
        <w:rPr>
          <w:rFonts w:asciiTheme="minorHAnsi" w:hAnsiTheme="minorHAnsi" w:cstheme="minorHAnsi"/>
          <w:b/>
          <w:bCs/>
          <w:sz w:val="22"/>
          <w:szCs w:val="22"/>
          <w:u w:val="single"/>
        </w:rPr>
      </w:pPr>
      <w:r w:rsidRPr="00907335">
        <w:rPr>
          <w:rFonts w:asciiTheme="minorHAnsi" w:hAnsiTheme="minorHAnsi" w:cstheme="minorHAnsi"/>
          <w:b/>
          <w:bCs/>
          <w:sz w:val="22"/>
          <w:szCs w:val="22"/>
          <w:u w:val="single"/>
        </w:rPr>
        <w:t xml:space="preserve">Congress </w:t>
      </w:r>
      <w:r w:rsidR="00602F15" w:rsidRPr="00907335">
        <w:rPr>
          <w:rFonts w:asciiTheme="minorHAnsi" w:hAnsiTheme="minorHAnsi" w:cstheme="minorHAnsi"/>
          <w:b/>
          <w:bCs/>
          <w:sz w:val="22"/>
          <w:szCs w:val="22"/>
          <w:u w:val="single"/>
        </w:rPr>
        <w:t xml:space="preserve">Must </w:t>
      </w:r>
      <w:r w:rsidRPr="00907335">
        <w:rPr>
          <w:rFonts w:asciiTheme="minorHAnsi" w:hAnsiTheme="minorHAnsi" w:cstheme="minorHAnsi"/>
          <w:b/>
          <w:bCs/>
          <w:sz w:val="22"/>
          <w:szCs w:val="22"/>
          <w:u w:val="single"/>
        </w:rPr>
        <w:t>Act to Protect Patients</w:t>
      </w:r>
      <w:r w:rsidR="00907335" w:rsidRPr="00907335">
        <w:rPr>
          <w:rFonts w:asciiTheme="minorHAnsi" w:hAnsiTheme="minorHAnsi" w:cstheme="minorHAnsi"/>
          <w:b/>
          <w:bCs/>
          <w:sz w:val="22"/>
          <w:szCs w:val="22"/>
          <w:u w:val="single"/>
        </w:rPr>
        <w:t xml:space="preserve">: </w:t>
      </w:r>
      <w:r w:rsidRPr="00907335">
        <w:rPr>
          <w:rFonts w:asciiTheme="minorHAnsi" w:hAnsiTheme="minorHAnsi" w:cstheme="minorHAnsi"/>
          <w:sz w:val="22"/>
          <w:szCs w:val="22"/>
        </w:rPr>
        <w:t xml:space="preserve">Patients shouldn’t be forced to forego treatments because of PBM policies </w:t>
      </w:r>
      <w:r w:rsidR="005A501B" w:rsidRPr="00907335">
        <w:rPr>
          <w:rFonts w:asciiTheme="minorHAnsi" w:hAnsiTheme="minorHAnsi" w:cstheme="minorHAnsi"/>
          <w:sz w:val="22"/>
          <w:szCs w:val="22"/>
        </w:rPr>
        <w:t xml:space="preserve">that </w:t>
      </w:r>
      <w:r w:rsidR="00AC0675" w:rsidRPr="00907335">
        <w:rPr>
          <w:rFonts w:asciiTheme="minorHAnsi" w:hAnsiTheme="minorHAnsi" w:cstheme="minorHAnsi"/>
          <w:sz w:val="22"/>
          <w:szCs w:val="22"/>
        </w:rPr>
        <w:t>drive up costs for</w:t>
      </w:r>
      <w:r w:rsidRPr="00907335">
        <w:rPr>
          <w:rFonts w:asciiTheme="minorHAnsi" w:hAnsiTheme="minorHAnsi" w:cstheme="minorHAnsi"/>
          <w:sz w:val="22"/>
          <w:szCs w:val="22"/>
        </w:rPr>
        <w:t xml:space="preserve"> patients. Therefore, we urge Congress to protect patients by pursuing meaningful PBM reforms:  </w:t>
      </w:r>
    </w:p>
    <w:p w14:paraId="46173D48" w14:textId="53778CD9" w:rsidR="00764131" w:rsidRPr="00907335" w:rsidRDefault="00764131" w:rsidP="00907335">
      <w:pPr>
        <w:pStyle w:val="ListParagraph"/>
        <w:numPr>
          <w:ilvl w:val="0"/>
          <w:numId w:val="4"/>
        </w:numPr>
        <w:spacing w:line="240" w:lineRule="auto"/>
        <w:ind w:left="360"/>
        <w:rPr>
          <w:rFonts w:cstheme="minorHAnsi"/>
        </w:rPr>
      </w:pPr>
      <w:r w:rsidRPr="00907335">
        <w:rPr>
          <w:rFonts w:cstheme="minorHAnsi"/>
        </w:rPr>
        <w:t xml:space="preserve">Pass federal legislation that would </w:t>
      </w:r>
      <w:r w:rsidRPr="00907335">
        <w:rPr>
          <w:rFonts w:cstheme="minorHAnsi"/>
          <w:b/>
          <w:bCs/>
        </w:rPr>
        <w:t>require transparency into PBM business practices and agreements</w:t>
      </w:r>
      <w:r w:rsidRPr="00907335">
        <w:rPr>
          <w:rFonts w:cstheme="minorHAnsi"/>
        </w:rPr>
        <w:t xml:space="preserve"> to ensure that they perform their services in the best interest of payers, employers, and, most importantly, patients.</w:t>
      </w:r>
    </w:p>
    <w:p w14:paraId="614EFF8F" w14:textId="3C0520A1" w:rsidR="0031448F" w:rsidRPr="00907335" w:rsidRDefault="00764131" w:rsidP="00907335">
      <w:pPr>
        <w:pStyle w:val="ListParagraph"/>
        <w:numPr>
          <w:ilvl w:val="0"/>
          <w:numId w:val="4"/>
        </w:numPr>
        <w:spacing w:line="240" w:lineRule="auto"/>
        <w:ind w:left="360"/>
        <w:rPr>
          <w:rFonts w:cstheme="minorHAnsi"/>
        </w:rPr>
      </w:pPr>
      <w:r w:rsidRPr="00907335">
        <w:rPr>
          <w:rFonts w:cstheme="minorHAnsi"/>
        </w:rPr>
        <w:t xml:space="preserve">Mandate that </w:t>
      </w:r>
      <w:r w:rsidRPr="00907335">
        <w:rPr>
          <w:rFonts w:cstheme="minorHAnsi"/>
          <w:b/>
          <w:bCs/>
        </w:rPr>
        <w:t>all negotiated discounts and rebates must be passed directly to consumers</w:t>
      </w:r>
      <w:r w:rsidRPr="00907335">
        <w:rPr>
          <w:rFonts w:cstheme="minorHAnsi"/>
        </w:rPr>
        <w:t xml:space="preserve"> to help drive down overall drug costs and increase patient access.</w:t>
      </w:r>
    </w:p>
    <w:p w14:paraId="7E48726A" w14:textId="4F4581CD" w:rsidR="007913C1" w:rsidRPr="00907335" w:rsidRDefault="00764131" w:rsidP="00907335">
      <w:pPr>
        <w:pStyle w:val="ListParagraph"/>
        <w:numPr>
          <w:ilvl w:val="0"/>
          <w:numId w:val="3"/>
        </w:numPr>
        <w:spacing w:line="240" w:lineRule="auto"/>
        <w:ind w:left="360"/>
        <w:rPr>
          <w:rFonts w:cstheme="minorHAnsi"/>
        </w:rPr>
      </w:pPr>
      <w:r w:rsidRPr="00907335">
        <w:rPr>
          <w:rFonts w:cstheme="minorHAnsi"/>
          <w:b/>
          <w:bCs/>
        </w:rPr>
        <w:t>Pass the Help Ensure Lower Patient (HELP) Copays Act</w:t>
      </w:r>
      <w:r w:rsidR="0082259E">
        <w:rPr>
          <w:rFonts w:cstheme="minorHAnsi"/>
          <w:b/>
          <w:bCs/>
        </w:rPr>
        <w:t xml:space="preserve"> </w:t>
      </w:r>
      <w:r w:rsidRPr="00907335">
        <w:rPr>
          <w:rFonts w:cstheme="minorHAnsi"/>
        </w:rPr>
        <w:t xml:space="preserve">which would ensure that all copayments made by or on behalf of a patient count toward their deductible and out-of-pocket limit so that patients can access the medications they need. </w:t>
      </w:r>
    </w:p>
    <w:sectPr w:rsidR="007913C1" w:rsidRPr="00907335" w:rsidSect="00A72D9A">
      <w:headerReference w:type="default" r:id="rId8"/>
      <w:headerReference w:type="first" r:id="rId9"/>
      <w:pgSz w:w="12240" w:h="15840"/>
      <w:pgMar w:top="144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B2653" w14:textId="77777777" w:rsidR="006536FD" w:rsidRDefault="006536FD" w:rsidP="00594E65">
      <w:r>
        <w:separator/>
      </w:r>
    </w:p>
  </w:endnote>
  <w:endnote w:type="continuationSeparator" w:id="0">
    <w:p w14:paraId="109A73D7" w14:textId="77777777" w:rsidR="006536FD" w:rsidRDefault="006536FD" w:rsidP="00594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CF2E4" w14:textId="77777777" w:rsidR="006536FD" w:rsidRDefault="006536FD" w:rsidP="00594E65">
      <w:r>
        <w:separator/>
      </w:r>
    </w:p>
  </w:footnote>
  <w:footnote w:type="continuationSeparator" w:id="0">
    <w:p w14:paraId="16F46332" w14:textId="77777777" w:rsidR="006536FD" w:rsidRDefault="006536FD" w:rsidP="00594E65">
      <w:r>
        <w:continuationSeparator/>
      </w:r>
    </w:p>
  </w:footnote>
  <w:footnote w:id="1">
    <w:p w14:paraId="61DE2956" w14:textId="649F8E84" w:rsidR="00335879" w:rsidRPr="0008326B" w:rsidRDefault="00335879">
      <w:pPr>
        <w:pStyle w:val="FootnoteText"/>
        <w:rPr>
          <w:rFonts w:ascii="Calibri" w:hAnsi="Calibri" w:cs="Calibri"/>
          <w:sz w:val="15"/>
          <w:szCs w:val="15"/>
        </w:rPr>
      </w:pPr>
      <w:r w:rsidRPr="0008326B">
        <w:rPr>
          <w:rStyle w:val="FootnoteReference"/>
          <w:rFonts w:ascii="Calibri" w:hAnsi="Calibri" w:cs="Calibri"/>
          <w:sz w:val="15"/>
          <w:szCs w:val="15"/>
        </w:rPr>
        <w:footnoteRef/>
      </w:r>
      <w:r w:rsidRPr="0008326B">
        <w:rPr>
          <w:rFonts w:ascii="Calibri" w:hAnsi="Calibri" w:cs="Calibri"/>
          <w:sz w:val="15"/>
          <w:szCs w:val="15"/>
        </w:rPr>
        <w:t xml:space="preserve"> </w:t>
      </w:r>
      <w:hyperlink r:id="rId1" w:history="1">
        <w:r w:rsidRPr="0008326B">
          <w:rPr>
            <w:rStyle w:val="Hyperlink"/>
            <w:rFonts w:ascii="Calibri" w:hAnsi="Calibri" w:cs="Calibri"/>
            <w:sz w:val="15"/>
            <w:szCs w:val="15"/>
          </w:rPr>
          <w:t>https://aidsinstitute.net/documents/TAI-Report-Copay-Accumulator-Adjustment-Programs-2023.pdf</w:t>
        </w:r>
      </w:hyperlink>
    </w:p>
  </w:footnote>
  <w:footnote w:id="2">
    <w:p w14:paraId="0B8E5FB3" w14:textId="0F54A72A" w:rsidR="00335879" w:rsidRPr="0008326B" w:rsidRDefault="00335879">
      <w:pPr>
        <w:pStyle w:val="FootnoteText"/>
        <w:rPr>
          <w:rFonts w:ascii="Calibri" w:hAnsi="Calibri" w:cs="Calibri"/>
          <w:sz w:val="15"/>
          <w:szCs w:val="15"/>
        </w:rPr>
      </w:pPr>
      <w:r w:rsidRPr="0008326B">
        <w:rPr>
          <w:rStyle w:val="FootnoteReference"/>
          <w:rFonts w:ascii="Calibri" w:hAnsi="Calibri" w:cs="Calibri"/>
          <w:sz w:val="15"/>
          <w:szCs w:val="15"/>
        </w:rPr>
        <w:footnoteRef/>
      </w:r>
      <w:r w:rsidRPr="0008326B">
        <w:rPr>
          <w:rFonts w:ascii="Calibri" w:hAnsi="Calibri" w:cs="Calibri"/>
          <w:sz w:val="15"/>
          <w:szCs w:val="15"/>
        </w:rPr>
        <w:t xml:space="preserve"> </w:t>
      </w:r>
      <w:hyperlink r:id="rId2" w:history="1">
        <w:r w:rsidRPr="0008326B">
          <w:rPr>
            <w:rStyle w:val="Hyperlink"/>
            <w:rFonts w:ascii="Calibri" w:hAnsi="Calibri" w:cs="Calibri"/>
            <w:sz w:val="15"/>
            <w:szCs w:val="15"/>
          </w:rPr>
          <w:t>https://chroniccarealliance.org/wp-content/uploads/2023/05/CCPA-Copay-Accumulator-Issue-Brief.pdf</w:t>
        </w:r>
      </w:hyperlink>
      <w:r w:rsidRPr="0008326B">
        <w:rPr>
          <w:rFonts w:ascii="Calibri" w:hAnsi="Calibri" w:cs="Calibri"/>
          <w:sz w:val="15"/>
          <w:szCs w:val="15"/>
        </w:rPr>
        <w:t xml:space="preserve"> </w:t>
      </w:r>
    </w:p>
  </w:footnote>
  <w:footnote w:id="3">
    <w:p w14:paraId="3DB52C40" w14:textId="7135D0E8" w:rsidR="00335879" w:rsidRPr="0008326B" w:rsidRDefault="00335879">
      <w:pPr>
        <w:pStyle w:val="FootnoteText"/>
        <w:rPr>
          <w:rFonts w:ascii="Calibri" w:hAnsi="Calibri" w:cs="Calibri"/>
          <w:sz w:val="15"/>
          <w:szCs w:val="15"/>
        </w:rPr>
      </w:pPr>
      <w:r w:rsidRPr="0008326B">
        <w:rPr>
          <w:rStyle w:val="FootnoteReference"/>
          <w:rFonts w:ascii="Calibri" w:hAnsi="Calibri" w:cs="Calibri"/>
          <w:sz w:val="15"/>
          <w:szCs w:val="15"/>
        </w:rPr>
        <w:footnoteRef/>
      </w:r>
      <w:r w:rsidRPr="0008326B">
        <w:rPr>
          <w:rFonts w:ascii="Calibri" w:hAnsi="Calibri" w:cs="Calibri"/>
          <w:sz w:val="15"/>
          <w:szCs w:val="15"/>
        </w:rPr>
        <w:t xml:space="preserve"> </w:t>
      </w:r>
      <w:hyperlink r:id="rId3" w:history="1">
        <w:r w:rsidRPr="0008326B">
          <w:rPr>
            <w:rStyle w:val="Hyperlink"/>
            <w:rFonts w:ascii="Calibri" w:hAnsi="Calibri" w:cs="Calibri"/>
            <w:sz w:val="15"/>
            <w:szCs w:val="15"/>
          </w:rPr>
          <w:t>https://aidsinstitute.net/documents/TAI-Report-Copay-Accumulator-Adjustment-Programs-2023.pdf</w:t>
        </w:r>
      </w:hyperlink>
      <w:r w:rsidRPr="0008326B">
        <w:rPr>
          <w:rFonts w:ascii="Calibri" w:hAnsi="Calibri" w:cs="Calibri"/>
          <w:sz w:val="15"/>
          <w:szCs w:val="15"/>
        </w:rPr>
        <w:t xml:space="preserve"> </w:t>
      </w:r>
    </w:p>
    <w:p w14:paraId="3E421E65" w14:textId="6D4A52F4" w:rsidR="00937AFD" w:rsidRPr="0008326B" w:rsidRDefault="00937AFD">
      <w:pPr>
        <w:pStyle w:val="FootnoteText"/>
        <w:rPr>
          <w:rFonts w:ascii="Calibri" w:hAnsi="Calibri" w:cs="Calibri"/>
          <w:sz w:val="15"/>
          <w:szCs w:val="15"/>
        </w:rPr>
      </w:pPr>
      <w:r w:rsidRPr="0008326B">
        <w:rPr>
          <w:rFonts w:ascii="Calibri" w:hAnsi="Calibri" w:cs="Calibri"/>
          <w:sz w:val="15"/>
          <w:szCs w:val="15"/>
          <w:vertAlign w:val="superscript"/>
        </w:rPr>
        <w:t>4</w:t>
      </w:r>
      <w:r w:rsidRPr="0008326B">
        <w:rPr>
          <w:rFonts w:ascii="Calibri" w:hAnsi="Calibri" w:cs="Calibri"/>
          <w:sz w:val="15"/>
          <w:szCs w:val="15"/>
        </w:rPr>
        <w:t xml:space="preserve"> </w:t>
      </w:r>
      <w:hyperlink r:id="rId4" w:history="1">
        <w:r w:rsidRPr="0008326B">
          <w:rPr>
            <w:rStyle w:val="Hyperlink"/>
            <w:rFonts w:ascii="Calibri" w:hAnsi="Calibri" w:cs="Calibri"/>
            <w:sz w:val="15"/>
            <w:szCs w:val="15"/>
          </w:rPr>
          <w:t>https://www.ftc.gov/news-events/news/press-releases/2024/07/ftc-releases-interim-staff-report-prescription-drug-middlemen</w:t>
        </w:r>
      </w:hyperlink>
      <w:r w:rsidRPr="0008326B">
        <w:rPr>
          <w:rFonts w:ascii="Calibri" w:hAnsi="Calibri" w:cs="Calibri"/>
          <w:sz w:val="15"/>
          <w:szCs w:val="15"/>
        </w:rPr>
        <w:t xml:space="preserve"> </w:t>
      </w:r>
    </w:p>
    <w:p w14:paraId="5EBC06B6" w14:textId="590CA1C9" w:rsidR="008845F3" w:rsidRPr="008845F3" w:rsidRDefault="008845F3">
      <w:pPr>
        <w:pStyle w:val="FootnoteText"/>
      </w:pPr>
      <w:r w:rsidRPr="0008326B">
        <w:rPr>
          <w:rFonts w:ascii="Calibri" w:hAnsi="Calibri" w:cs="Calibri"/>
          <w:sz w:val="15"/>
          <w:szCs w:val="15"/>
          <w:vertAlign w:val="superscript"/>
        </w:rPr>
        <w:t>5</w:t>
      </w:r>
      <w:r w:rsidRPr="0008326B">
        <w:rPr>
          <w:rFonts w:ascii="Calibri" w:hAnsi="Calibri" w:cs="Calibri"/>
          <w:sz w:val="15"/>
          <w:szCs w:val="15"/>
        </w:rPr>
        <w:t xml:space="preserve"> </w:t>
      </w:r>
      <w:hyperlink r:id="rId5" w:history="1">
        <w:r w:rsidRPr="0008326B">
          <w:rPr>
            <w:rStyle w:val="Hyperlink"/>
            <w:rFonts w:ascii="Calibri" w:hAnsi="Calibri" w:cs="Calibri"/>
            <w:sz w:val="15"/>
            <w:szCs w:val="15"/>
          </w:rPr>
          <w:t>https://www.nytimes.com/2024/06/21/business/prescription-drug-costs-pbm.html</w:t>
        </w:r>
      </w:hyperlink>
      <w:r w:rsidRPr="0008326B">
        <w:rPr>
          <w:rFonts w:asciiTheme="minorHAnsi" w:hAnsiTheme="minorHAnsi" w:cstheme="minorHAnsi"/>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1E85" w14:textId="1DC7B3A9" w:rsidR="00594E65" w:rsidRDefault="00594E65" w:rsidP="00594E6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6ABAC" w14:textId="1E5AD4DB" w:rsidR="00594E65" w:rsidRDefault="00594E65" w:rsidP="00594E65">
    <w:pPr>
      <w:pStyle w:val="Header"/>
      <w:jc w:val="center"/>
    </w:pPr>
    <w:r>
      <w:rPr>
        <w:noProof/>
      </w:rPr>
      <w:drawing>
        <wp:inline distT="0" distB="0" distL="0" distR="0" wp14:anchorId="1DA49DF1" wp14:editId="4D84A553">
          <wp:extent cx="2846894" cy="546263"/>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071325" cy="5893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C2621"/>
    <w:multiLevelType w:val="hybridMultilevel"/>
    <w:tmpl w:val="D0EEB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A03EA"/>
    <w:multiLevelType w:val="multilevel"/>
    <w:tmpl w:val="C0400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D75027"/>
    <w:multiLevelType w:val="hybridMultilevel"/>
    <w:tmpl w:val="CF5E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5F2244"/>
    <w:multiLevelType w:val="hybridMultilevel"/>
    <w:tmpl w:val="E3469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3249343">
    <w:abstractNumId w:val="1"/>
  </w:num>
  <w:num w:numId="2" w16cid:durableId="1927766945">
    <w:abstractNumId w:val="3"/>
  </w:num>
  <w:num w:numId="3" w16cid:durableId="490683884">
    <w:abstractNumId w:val="0"/>
  </w:num>
  <w:num w:numId="4" w16cid:durableId="640157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19D"/>
    <w:rsid w:val="00004B3A"/>
    <w:rsid w:val="00024696"/>
    <w:rsid w:val="000320D0"/>
    <w:rsid w:val="00043460"/>
    <w:rsid w:val="00047235"/>
    <w:rsid w:val="0008326B"/>
    <w:rsid w:val="00095626"/>
    <w:rsid w:val="000E20B9"/>
    <w:rsid w:val="000E28E1"/>
    <w:rsid w:val="000F1E1E"/>
    <w:rsid w:val="001372EA"/>
    <w:rsid w:val="00142279"/>
    <w:rsid w:val="001A7EEA"/>
    <w:rsid w:val="001B53F8"/>
    <w:rsid w:val="001F3526"/>
    <w:rsid w:val="001F620F"/>
    <w:rsid w:val="00240624"/>
    <w:rsid w:val="00246B28"/>
    <w:rsid w:val="0031448F"/>
    <w:rsid w:val="00314F09"/>
    <w:rsid w:val="00335879"/>
    <w:rsid w:val="00395815"/>
    <w:rsid w:val="003C039D"/>
    <w:rsid w:val="003C6993"/>
    <w:rsid w:val="003E782A"/>
    <w:rsid w:val="003F0768"/>
    <w:rsid w:val="00401337"/>
    <w:rsid w:val="00430658"/>
    <w:rsid w:val="00434D3D"/>
    <w:rsid w:val="00447F75"/>
    <w:rsid w:val="004771E2"/>
    <w:rsid w:val="00483E41"/>
    <w:rsid w:val="004B380F"/>
    <w:rsid w:val="004D3CC4"/>
    <w:rsid w:val="00594E65"/>
    <w:rsid w:val="005A501B"/>
    <w:rsid w:val="005B635C"/>
    <w:rsid w:val="00602F15"/>
    <w:rsid w:val="00610DEA"/>
    <w:rsid w:val="006536FD"/>
    <w:rsid w:val="006656A3"/>
    <w:rsid w:val="00670D1D"/>
    <w:rsid w:val="00673BF4"/>
    <w:rsid w:val="006A2834"/>
    <w:rsid w:val="006A3937"/>
    <w:rsid w:val="006B767D"/>
    <w:rsid w:val="006E02D1"/>
    <w:rsid w:val="006F5ACA"/>
    <w:rsid w:val="006F71DF"/>
    <w:rsid w:val="006F7DB7"/>
    <w:rsid w:val="00724FE7"/>
    <w:rsid w:val="0073014A"/>
    <w:rsid w:val="00764131"/>
    <w:rsid w:val="00773D9D"/>
    <w:rsid w:val="007913C1"/>
    <w:rsid w:val="007B308E"/>
    <w:rsid w:val="007B5B30"/>
    <w:rsid w:val="007B7AE9"/>
    <w:rsid w:val="007C1DEB"/>
    <w:rsid w:val="007E71B5"/>
    <w:rsid w:val="0082259E"/>
    <w:rsid w:val="00837E1F"/>
    <w:rsid w:val="0084093F"/>
    <w:rsid w:val="00862B98"/>
    <w:rsid w:val="008845F3"/>
    <w:rsid w:val="008C2A22"/>
    <w:rsid w:val="008E743B"/>
    <w:rsid w:val="00903A1F"/>
    <w:rsid w:val="00907335"/>
    <w:rsid w:val="009079B7"/>
    <w:rsid w:val="00917A25"/>
    <w:rsid w:val="00923D30"/>
    <w:rsid w:val="00933C2B"/>
    <w:rsid w:val="00937AFD"/>
    <w:rsid w:val="0095323A"/>
    <w:rsid w:val="009C219D"/>
    <w:rsid w:val="009D5DE2"/>
    <w:rsid w:val="009F489D"/>
    <w:rsid w:val="00A04EF7"/>
    <w:rsid w:val="00A133F5"/>
    <w:rsid w:val="00A310EC"/>
    <w:rsid w:val="00A72D9A"/>
    <w:rsid w:val="00A84046"/>
    <w:rsid w:val="00A857F5"/>
    <w:rsid w:val="00AA297D"/>
    <w:rsid w:val="00AC0675"/>
    <w:rsid w:val="00AD4161"/>
    <w:rsid w:val="00B4372C"/>
    <w:rsid w:val="00B54D3F"/>
    <w:rsid w:val="00B5612A"/>
    <w:rsid w:val="00B62532"/>
    <w:rsid w:val="00B73DEC"/>
    <w:rsid w:val="00B859FA"/>
    <w:rsid w:val="00B91930"/>
    <w:rsid w:val="00BC1CCA"/>
    <w:rsid w:val="00BE24F6"/>
    <w:rsid w:val="00C142B0"/>
    <w:rsid w:val="00C1680C"/>
    <w:rsid w:val="00C62264"/>
    <w:rsid w:val="00C81376"/>
    <w:rsid w:val="00CD546E"/>
    <w:rsid w:val="00D02961"/>
    <w:rsid w:val="00D11F39"/>
    <w:rsid w:val="00D32EE8"/>
    <w:rsid w:val="00D6638B"/>
    <w:rsid w:val="00D87A0F"/>
    <w:rsid w:val="00DF687C"/>
    <w:rsid w:val="00E1258C"/>
    <w:rsid w:val="00E12660"/>
    <w:rsid w:val="00E36955"/>
    <w:rsid w:val="00E5553B"/>
    <w:rsid w:val="00E93317"/>
    <w:rsid w:val="00EA2D18"/>
    <w:rsid w:val="00EA3F41"/>
    <w:rsid w:val="00F97113"/>
    <w:rsid w:val="00FB0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6E6E"/>
  <w15:chartTrackingRefBased/>
  <w15:docId w15:val="{E7D24028-BC55-8B4C-B655-162A14A42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B28"/>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4E65"/>
    <w:pPr>
      <w:tabs>
        <w:tab w:val="center" w:pos="4680"/>
        <w:tab w:val="right" w:pos="9360"/>
      </w:tabs>
    </w:pPr>
  </w:style>
  <w:style w:type="character" w:customStyle="1" w:styleId="HeaderChar">
    <w:name w:val="Header Char"/>
    <w:basedOn w:val="DefaultParagraphFont"/>
    <w:link w:val="Header"/>
    <w:uiPriority w:val="99"/>
    <w:rsid w:val="00594E65"/>
  </w:style>
  <w:style w:type="paragraph" w:styleId="Footer">
    <w:name w:val="footer"/>
    <w:basedOn w:val="Normal"/>
    <w:link w:val="FooterChar"/>
    <w:uiPriority w:val="99"/>
    <w:unhideWhenUsed/>
    <w:rsid w:val="00594E65"/>
    <w:pPr>
      <w:tabs>
        <w:tab w:val="center" w:pos="4680"/>
        <w:tab w:val="right" w:pos="9360"/>
      </w:tabs>
    </w:pPr>
  </w:style>
  <w:style w:type="character" w:customStyle="1" w:styleId="FooterChar">
    <w:name w:val="Footer Char"/>
    <w:basedOn w:val="DefaultParagraphFont"/>
    <w:link w:val="Footer"/>
    <w:uiPriority w:val="99"/>
    <w:rsid w:val="00594E65"/>
  </w:style>
  <w:style w:type="paragraph" w:customStyle="1" w:styleId="Normal1">
    <w:name w:val="Normal1"/>
    <w:rsid w:val="00246B28"/>
    <w:rPr>
      <w:rFonts w:ascii="Calibri" w:eastAsia="Calibri" w:hAnsi="Calibri" w:cs="Calibri"/>
      <w:kern w:val="0"/>
      <w14:ligatures w14:val="none"/>
    </w:rPr>
  </w:style>
  <w:style w:type="paragraph" w:styleId="NormalWeb">
    <w:name w:val="Normal (Web)"/>
    <w:basedOn w:val="Normal"/>
    <w:uiPriority w:val="99"/>
    <w:semiHidden/>
    <w:unhideWhenUsed/>
    <w:rsid w:val="00246B28"/>
    <w:pPr>
      <w:spacing w:before="100" w:beforeAutospacing="1" w:after="100" w:afterAutospacing="1"/>
    </w:pPr>
  </w:style>
  <w:style w:type="character" w:styleId="Strong">
    <w:name w:val="Strong"/>
    <w:basedOn w:val="DefaultParagraphFont"/>
    <w:uiPriority w:val="22"/>
    <w:qFormat/>
    <w:rsid w:val="00246B28"/>
    <w:rPr>
      <w:b/>
      <w:bCs/>
    </w:rPr>
  </w:style>
  <w:style w:type="character" w:styleId="Emphasis">
    <w:name w:val="Emphasis"/>
    <w:basedOn w:val="DefaultParagraphFont"/>
    <w:uiPriority w:val="20"/>
    <w:qFormat/>
    <w:rsid w:val="00246B28"/>
    <w:rPr>
      <w:i/>
      <w:iCs/>
    </w:rPr>
  </w:style>
  <w:style w:type="paragraph" w:styleId="ListParagraph">
    <w:name w:val="List Paragraph"/>
    <w:basedOn w:val="Normal"/>
    <w:uiPriority w:val="34"/>
    <w:qFormat/>
    <w:rsid w:val="00764131"/>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9079B7"/>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D02961"/>
    <w:rPr>
      <w:sz w:val="16"/>
      <w:szCs w:val="16"/>
    </w:rPr>
  </w:style>
  <w:style w:type="paragraph" w:styleId="CommentText">
    <w:name w:val="annotation text"/>
    <w:basedOn w:val="Normal"/>
    <w:link w:val="CommentTextChar"/>
    <w:uiPriority w:val="99"/>
    <w:unhideWhenUsed/>
    <w:rsid w:val="00D02961"/>
    <w:rPr>
      <w:sz w:val="20"/>
      <w:szCs w:val="20"/>
    </w:rPr>
  </w:style>
  <w:style w:type="character" w:customStyle="1" w:styleId="CommentTextChar">
    <w:name w:val="Comment Text Char"/>
    <w:basedOn w:val="DefaultParagraphFont"/>
    <w:link w:val="CommentText"/>
    <w:uiPriority w:val="99"/>
    <w:rsid w:val="00D02961"/>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02961"/>
    <w:rPr>
      <w:b/>
      <w:bCs/>
    </w:rPr>
  </w:style>
  <w:style w:type="character" w:customStyle="1" w:styleId="CommentSubjectChar">
    <w:name w:val="Comment Subject Char"/>
    <w:basedOn w:val="CommentTextChar"/>
    <w:link w:val="CommentSubject"/>
    <w:uiPriority w:val="99"/>
    <w:semiHidden/>
    <w:rsid w:val="00D02961"/>
    <w:rPr>
      <w:rFonts w:ascii="Times New Roman" w:eastAsia="Times New Roman" w:hAnsi="Times New Roman" w:cs="Times New Roman"/>
      <w:b/>
      <w:bCs/>
      <w:kern w:val="0"/>
      <w:sz w:val="20"/>
      <w:szCs w:val="20"/>
      <w14:ligatures w14:val="none"/>
    </w:rPr>
  </w:style>
  <w:style w:type="paragraph" w:styleId="BalloonText">
    <w:name w:val="Balloon Text"/>
    <w:basedOn w:val="Normal"/>
    <w:link w:val="BalloonTextChar"/>
    <w:uiPriority w:val="99"/>
    <w:semiHidden/>
    <w:unhideWhenUsed/>
    <w:rsid w:val="006A2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834"/>
    <w:rPr>
      <w:rFonts w:ascii="Segoe UI" w:eastAsia="Times New Roman" w:hAnsi="Segoe UI" w:cs="Segoe UI"/>
      <w:kern w:val="0"/>
      <w:sz w:val="18"/>
      <w:szCs w:val="18"/>
      <w14:ligatures w14:val="none"/>
    </w:rPr>
  </w:style>
  <w:style w:type="paragraph" w:styleId="FootnoteText">
    <w:name w:val="footnote text"/>
    <w:basedOn w:val="Normal"/>
    <w:link w:val="FootnoteTextChar"/>
    <w:uiPriority w:val="99"/>
    <w:semiHidden/>
    <w:unhideWhenUsed/>
    <w:rsid w:val="00335879"/>
    <w:rPr>
      <w:sz w:val="20"/>
      <w:szCs w:val="20"/>
    </w:rPr>
  </w:style>
  <w:style w:type="character" w:customStyle="1" w:styleId="FootnoteTextChar">
    <w:name w:val="Footnote Text Char"/>
    <w:basedOn w:val="DefaultParagraphFont"/>
    <w:link w:val="FootnoteText"/>
    <w:uiPriority w:val="99"/>
    <w:semiHidden/>
    <w:rsid w:val="00335879"/>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335879"/>
    <w:rPr>
      <w:vertAlign w:val="superscript"/>
    </w:rPr>
  </w:style>
  <w:style w:type="character" w:styleId="Hyperlink">
    <w:name w:val="Hyperlink"/>
    <w:basedOn w:val="DefaultParagraphFont"/>
    <w:uiPriority w:val="99"/>
    <w:unhideWhenUsed/>
    <w:rsid w:val="00335879"/>
    <w:rPr>
      <w:color w:val="0563C1" w:themeColor="hyperlink"/>
      <w:u w:val="single"/>
    </w:rPr>
  </w:style>
  <w:style w:type="character" w:styleId="UnresolvedMention">
    <w:name w:val="Unresolved Mention"/>
    <w:basedOn w:val="DefaultParagraphFont"/>
    <w:uiPriority w:val="99"/>
    <w:semiHidden/>
    <w:unhideWhenUsed/>
    <w:rsid w:val="00335879"/>
    <w:rPr>
      <w:color w:val="605E5C"/>
      <w:shd w:val="clear" w:color="auto" w:fill="E1DFDD"/>
    </w:rPr>
  </w:style>
  <w:style w:type="character" w:styleId="FollowedHyperlink">
    <w:name w:val="FollowedHyperlink"/>
    <w:basedOn w:val="DefaultParagraphFont"/>
    <w:uiPriority w:val="99"/>
    <w:semiHidden/>
    <w:unhideWhenUsed/>
    <w:rsid w:val="008845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aidsinstitute.net/documents/TAI-Report-Copay-Accumulator-Adjustment-Programs-2023.pdf" TargetMode="External"/><Relationship Id="rId2" Type="http://schemas.openxmlformats.org/officeDocument/2006/relationships/hyperlink" Target="https://chroniccarealliance.org/wp-content/uploads/2023/05/CCPA-Copay-Accumulator-Issue-Brief.pdf" TargetMode="External"/><Relationship Id="rId1" Type="http://schemas.openxmlformats.org/officeDocument/2006/relationships/hyperlink" Target="https://aidsinstitute.net/documents/TAI-Report-Copay-Accumulator-Adjustment-Programs-2023.pdf" TargetMode="External"/><Relationship Id="rId5" Type="http://schemas.openxmlformats.org/officeDocument/2006/relationships/hyperlink" Target="https://www.nytimes.com/2024/06/21/business/prescription-drug-costs-pbm.html" TargetMode="External"/><Relationship Id="rId4" Type="http://schemas.openxmlformats.org/officeDocument/2006/relationships/hyperlink" Target="https://www.ftc.gov/news-events/news/press-releases/2024/07/ftc-releases-interim-staff-report-prescription-drug-middlem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3707E-6E5B-054D-8056-2A6B1DCD6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Drake Sapigao</dc:creator>
  <cp:keywords/>
  <dc:description/>
  <cp:lastModifiedBy>Keisha Vaughan</cp:lastModifiedBy>
  <cp:revision>2</cp:revision>
  <dcterms:created xsi:type="dcterms:W3CDTF">2025-02-20T21:11:00Z</dcterms:created>
  <dcterms:modified xsi:type="dcterms:W3CDTF">2025-02-20T21:11:00Z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3037cfc4bf91161d7393e11d84c73b6b1233cbecf43876d6340bb13db27e0d9f</vt:lpwstr>
  </property>
</Properties>
</file>